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tabs>
          <w:tab w:leader="none" w:pos="4677" w:val="center"/>
          <w:tab w:leader="none" w:pos="9355" w:val="right"/>
        </w:tabs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02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03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Перечень предпрофессиональных программ, по которым </w:t>
      </w:r>
    </w:p>
    <w:p w14:paraId="04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ГБУДО г. Москвы «ДМШ им. В.А. Моцарта» объявляет прием</w:t>
      </w:r>
    </w:p>
    <w:p w14:paraId="05000000">
      <w:pPr>
        <w:ind/>
        <w:jc w:val="center"/>
        <w:rPr>
          <w:rFonts w:ascii="Times New Roman" w:hAnsi="Times New Roman"/>
          <w:b w:val="1"/>
          <w:sz w:val="28"/>
        </w:rPr>
      </w:pPr>
    </w:p>
    <w:tbl>
      <w:tblPr>
        <w:tblStyle w:val="Style_1"/>
        <w:tblInd w:type="dxa" w:w="-714"/>
        <w:tblLayout w:type="fixed"/>
      </w:tblPr>
      <w:tblGrid>
        <w:gridCol w:w="709"/>
        <w:gridCol w:w="5529"/>
        <w:gridCol w:w="2551"/>
        <w:gridCol w:w="1559"/>
      </w:tblGrid>
      <w:tr>
        <w:tc>
          <w:tcPr>
            <w:tcW w:type="dxa" w:w="709"/>
          </w:tcPr>
          <w:p w14:paraId="06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№</w:t>
            </w:r>
          </w:p>
        </w:tc>
        <w:tc>
          <w:tcPr>
            <w:tcW w:type="dxa" w:w="5529"/>
          </w:tcPr>
          <w:p w14:paraId="07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Наименование программы</w:t>
            </w:r>
          </w:p>
        </w:tc>
        <w:tc>
          <w:tcPr>
            <w:tcW w:type="dxa" w:w="2551"/>
          </w:tcPr>
          <w:p w14:paraId="08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Специальность</w:t>
            </w:r>
          </w:p>
        </w:tc>
        <w:tc>
          <w:tcPr>
            <w:tcW w:type="dxa" w:w="1559"/>
          </w:tcPr>
          <w:p w14:paraId="09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Срок обучения, лет</w:t>
            </w:r>
          </w:p>
        </w:tc>
      </w:tr>
      <w:tr>
        <w:tc>
          <w:tcPr>
            <w:tcW w:type="dxa" w:w="709"/>
          </w:tcPr>
          <w:p w14:paraId="0A000000">
            <w:pPr>
              <w:pStyle w:val="Style_2"/>
              <w:numPr>
                <w:ilvl w:val="0"/>
                <w:numId w:val="1"/>
              </w:numPr>
              <w:ind w:hanging="498" w:left="458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529"/>
          </w:tcPr>
          <w:p w14:paraId="0B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Дополнительная предпрофессиональная общеобразовательная программа в области музыкального искусства </w:t>
            </w:r>
            <w:r>
              <w:rPr>
                <w:rFonts w:ascii="Times New Roman" w:hAnsi="Times New Roman"/>
                <w:b w:val="1"/>
                <w:sz w:val="28"/>
              </w:rPr>
              <w:t>«Фортепиано»</w:t>
            </w:r>
          </w:p>
          <w:p w14:paraId="0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551"/>
          </w:tcPr>
          <w:p w14:paraId="0D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Фортепиано</w:t>
            </w:r>
          </w:p>
        </w:tc>
        <w:tc>
          <w:tcPr>
            <w:tcW w:type="dxa" w:w="1559"/>
            <w:vAlign w:val="center"/>
          </w:tcPr>
          <w:p w14:paraId="0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8(9)</w:t>
            </w:r>
          </w:p>
        </w:tc>
      </w:tr>
      <w:tr>
        <w:trPr>
          <w:trHeight w:hRule="atLeast" w:val="774"/>
        </w:trPr>
        <w:tc>
          <w:tcPr>
            <w:tcW w:type="dxa" w:w="709"/>
            <w:vMerge w:val="restart"/>
          </w:tcPr>
          <w:p w14:paraId="0F000000">
            <w:pPr>
              <w:pStyle w:val="Style_2"/>
              <w:numPr>
                <w:ilvl w:val="0"/>
                <w:numId w:val="1"/>
              </w:numPr>
              <w:ind w:hanging="498" w:left="458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529"/>
            <w:vMerge w:val="restart"/>
          </w:tcPr>
          <w:p w14:paraId="1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Дополнительная предпрофессиональная общеобразовательная программа в области музыкального искусства</w:t>
            </w:r>
          </w:p>
          <w:p w14:paraId="11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«Струнные инструменты»</w:t>
            </w:r>
          </w:p>
          <w:p w14:paraId="12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2551"/>
          </w:tcPr>
          <w:p w14:paraId="13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Скрипка</w:t>
            </w:r>
          </w:p>
        </w:tc>
        <w:tc>
          <w:tcPr>
            <w:tcW w:type="dxa" w:w="1559"/>
            <w:vMerge w:val="restart"/>
            <w:vAlign w:val="center"/>
          </w:tcPr>
          <w:p w14:paraId="1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8(9)</w:t>
            </w:r>
          </w:p>
        </w:tc>
      </w:tr>
      <w:tr>
        <w:trPr>
          <w:trHeight w:hRule="atLeast" w:val="405"/>
        </w:trP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5529"/>
            <w:gridSpan w:val="1"/>
            <w:vMerge w:val="continue"/>
          </w:tcPr>
          <w:p/>
        </w:tc>
        <w:tc>
          <w:tcPr>
            <w:tcW w:type="dxa" w:w="2551"/>
          </w:tcPr>
          <w:p w14:paraId="1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Арфа</w:t>
            </w:r>
          </w:p>
        </w:tc>
        <w:tc>
          <w:tcPr>
            <w:tcW w:type="dxa" w:w="1559"/>
            <w:gridSpan w:val="1"/>
            <w:vMerge w:val="continue"/>
            <w:vAlign w:val="center"/>
          </w:tcPr>
          <w:p/>
        </w:tc>
      </w:tr>
      <w:tr>
        <w:trPr>
          <w:trHeight w:hRule="atLeast" w:val="690"/>
        </w:trPr>
        <w:tc>
          <w:tcPr>
            <w:tcW w:type="dxa" w:w="709"/>
            <w:vMerge w:val="restart"/>
          </w:tcPr>
          <w:p w14:paraId="16000000">
            <w:pPr>
              <w:pStyle w:val="Style_2"/>
              <w:numPr>
                <w:ilvl w:val="0"/>
                <w:numId w:val="1"/>
              </w:numPr>
              <w:ind w:hanging="498" w:left="458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529"/>
            <w:vMerge w:val="restart"/>
          </w:tcPr>
          <w:p w14:paraId="1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Дополнительная предпрофессиональная общеобразовательная программа в области музыкального искусства </w:t>
            </w:r>
          </w:p>
          <w:p w14:paraId="18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«Народные инструменты»</w:t>
            </w:r>
          </w:p>
          <w:p w14:paraId="19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2551"/>
          </w:tcPr>
          <w:p w14:paraId="1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Гитара</w:t>
            </w:r>
          </w:p>
        </w:tc>
        <w:tc>
          <w:tcPr>
            <w:tcW w:type="dxa" w:w="1559"/>
            <w:vMerge w:val="restart"/>
            <w:vAlign w:val="center"/>
          </w:tcPr>
          <w:p w14:paraId="1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8(9); 5(6)</w:t>
            </w:r>
          </w:p>
        </w:tc>
      </w:tr>
      <w:tr>
        <w:trPr>
          <w:trHeight w:hRule="atLeast" w:val="600"/>
        </w:trP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5529"/>
            <w:gridSpan w:val="1"/>
            <w:vMerge w:val="continue"/>
          </w:tcPr>
          <w:p/>
        </w:tc>
        <w:tc>
          <w:tcPr>
            <w:tcW w:type="dxa" w:w="2551"/>
          </w:tcPr>
          <w:p w14:paraId="1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Аккордеон</w:t>
            </w:r>
          </w:p>
        </w:tc>
        <w:tc>
          <w:tcPr>
            <w:tcW w:type="dxa" w:w="1559"/>
            <w:gridSpan w:val="1"/>
            <w:vMerge w:val="continue"/>
            <w:vAlign w:val="center"/>
          </w:tcPr>
          <w:p/>
        </w:tc>
      </w:tr>
      <w:tr>
        <w:trPr>
          <w:trHeight w:hRule="atLeast" w:val="450"/>
        </w:trPr>
        <w:tc>
          <w:tcPr>
            <w:tcW w:type="dxa" w:w="709"/>
            <w:vMerge w:val="restart"/>
          </w:tcPr>
          <w:p w14:paraId="1D000000">
            <w:pPr>
              <w:pStyle w:val="Style_2"/>
              <w:numPr>
                <w:ilvl w:val="0"/>
                <w:numId w:val="1"/>
              </w:numPr>
              <w:ind w:hanging="498" w:left="458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529"/>
            <w:vMerge w:val="restart"/>
          </w:tcPr>
          <w:p w14:paraId="1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Дополнительная предпрофессиональная общеобразовательная программа в области музыкального искусства </w:t>
            </w:r>
          </w:p>
          <w:p w14:paraId="1F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«Духовые и ударные инструменты»</w:t>
            </w:r>
          </w:p>
        </w:tc>
        <w:tc>
          <w:tcPr>
            <w:tcW w:type="dxa" w:w="2551"/>
          </w:tcPr>
          <w:p w14:paraId="2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Флейта</w:t>
            </w:r>
          </w:p>
        </w:tc>
        <w:tc>
          <w:tcPr>
            <w:tcW w:type="dxa" w:w="1559"/>
            <w:vMerge w:val="restart"/>
            <w:vAlign w:val="center"/>
          </w:tcPr>
          <w:p w14:paraId="21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8(9); 5(6)</w:t>
            </w:r>
          </w:p>
        </w:tc>
      </w:tr>
      <w:tr>
        <w:trPr>
          <w:trHeight w:hRule="atLeast" w:val="495"/>
        </w:trP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5529"/>
            <w:gridSpan w:val="1"/>
            <w:vMerge w:val="continue"/>
          </w:tcPr>
          <w:p/>
        </w:tc>
        <w:tc>
          <w:tcPr>
            <w:tcW w:type="dxa" w:w="2551"/>
          </w:tcPr>
          <w:p w14:paraId="2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Тромбон</w:t>
            </w:r>
          </w:p>
        </w:tc>
        <w:tc>
          <w:tcPr>
            <w:tcW w:type="dxa" w:w="1559"/>
            <w:gridSpan w:val="1"/>
            <w:vMerge w:val="continue"/>
            <w:vAlign w:val="center"/>
          </w:tcPr>
          <w:p/>
        </w:tc>
      </w:tr>
      <w:tr>
        <w:trPr>
          <w:trHeight w:hRule="atLeast" w:val="330"/>
        </w:trP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5529"/>
            <w:gridSpan w:val="1"/>
            <w:vMerge w:val="continue"/>
          </w:tcPr>
          <w:p/>
        </w:tc>
        <w:tc>
          <w:tcPr>
            <w:tcW w:type="dxa" w:w="2551"/>
          </w:tcPr>
          <w:p w14:paraId="23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Ударные инструменты</w:t>
            </w:r>
          </w:p>
        </w:tc>
        <w:tc>
          <w:tcPr>
            <w:tcW w:type="dxa" w:w="1559"/>
            <w:gridSpan w:val="1"/>
            <w:vMerge w:val="continue"/>
            <w:vAlign w:val="center"/>
          </w:tcPr>
          <w:p/>
        </w:tc>
      </w:tr>
      <w:tr>
        <w:trPr>
          <w:trHeight w:hRule="atLeast" w:val="603"/>
        </w:trPr>
        <w:tc>
          <w:tcPr>
            <w:tcW w:type="dxa" w:w="709"/>
            <w:vMerge w:val="restart"/>
          </w:tcPr>
          <w:p w14:paraId="24000000">
            <w:pPr>
              <w:pStyle w:val="Style_2"/>
              <w:numPr>
                <w:ilvl w:val="0"/>
                <w:numId w:val="1"/>
              </w:numPr>
              <w:ind w:hanging="498" w:left="458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529"/>
            <w:vMerge w:val="restart"/>
          </w:tcPr>
          <w:p w14:paraId="25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Дополнительная предпрофессиональная общеобразовательная программа в области музыкального искусства </w:t>
            </w:r>
          </w:p>
          <w:p w14:paraId="26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«Инструменты эстрадного оркестра»</w:t>
            </w:r>
          </w:p>
          <w:p w14:paraId="27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551"/>
          </w:tcPr>
          <w:p w14:paraId="2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Саксофон</w:t>
            </w:r>
          </w:p>
        </w:tc>
        <w:tc>
          <w:tcPr>
            <w:tcW w:type="dxa" w:w="1559"/>
            <w:vMerge w:val="restart"/>
            <w:vAlign w:val="center"/>
          </w:tcPr>
          <w:p w14:paraId="29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8(9); 5(6)</w:t>
            </w:r>
          </w:p>
        </w:tc>
      </w:tr>
      <w:tr>
        <w:trPr>
          <w:trHeight w:hRule="atLeast" w:val="225"/>
        </w:trPr>
        <w:tc>
          <w:tcPr>
            <w:tcW w:type="dxa" w:w="709"/>
            <w:gridSpan w:val="1"/>
            <w:vMerge w:val="continue"/>
          </w:tcPr>
          <w:p/>
        </w:tc>
        <w:tc>
          <w:tcPr>
            <w:tcW w:type="dxa" w:w="5529"/>
            <w:gridSpan w:val="1"/>
            <w:vMerge w:val="continue"/>
          </w:tcPr>
          <w:p/>
        </w:tc>
        <w:tc>
          <w:tcPr>
            <w:tcW w:type="dxa" w:w="2551"/>
          </w:tcPr>
          <w:p w14:paraId="2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Электрогитара</w:t>
            </w:r>
            <w:r>
              <w:rPr>
                <w:rFonts w:ascii="Times New Roman" w:hAnsi="Times New Roman"/>
                <w:sz w:val="28"/>
              </w:rPr>
              <w:t>/</w:t>
            </w:r>
          </w:p>
          <w:p w14:paraId="2B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Бас-гитара</w:t>
            </w:r>
            <w:bookmarkStart w:id="1" w:name="_GoBack"/>
            <w:bookmarkEnd w:id="1"/>
          </w:p>
        </w:tc>
        <w:tc>
          <w:tcPr>
            <w:tcW w:type="dxa" w:w="1559"/>
            <w:gridSpan w:val="1"/>
            <w:vMerge w:val="continue"/>
            <w:vAlign w:val="center"/>
          </w:tcPr>
          <w:p/>
        </w:tc>
      </w:tr>
    </w:tbl>
    <w:p w14:paraId="2C000000">
      <w:pPr>
        <w:ind/>
        <w:jc w:val="center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3"/>
    <w:link w:val="Style_9_ch"/>
    <w:uiPriority w:val="39"/>
    <w:pPr>
      <w:ind w:firstLine="0" w:left="400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3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0_ch" w:type="character">
    <w:name w:val="heading 5"/>
    <w:link w:val="Style_10"/>
    <w:rPr>
      <w:rFonts w:ascii="XO Thames" w:hAnsi="XO Thames"/>
      <w:b w:val="1"/>
    </w:rPr>
  </w:style>
  <w:style w:styleId="Style_11" w:type="paragraph">
    <w:name w:val="heading 1"/>
    <w:next w:val="Style_3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</w:rPr>
  </w:style>
  <w:style w:styleId="Style_13_ch" w:type="character">
    <w:name w:val="Footnote"/>
    <w:link w:val="Style_13"/>
    <w:rPr>
      <w:rFonts w:ascii="XO Thames" w:hAnsi="XO Thames"/>
    </w:rPr>
  </w:style>
  <w:style w:styleId="Style_14" w:type="paragraph">
    <w:name w:val="toc 1"/>
    <w:next w:val="Style_3"/>
    <w:link w:val="Style_14_ch"/>
    <w:uiPriority w:val="39"/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3"/>
    <w:link w:val="Style_17_ch"/>
    <w:uiPriority w:val="39"/>
    <w:pPr>
      <w:ind w:firstLine="0" w:left="1600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2" w:type="paragraph">
    <w:name w:val="List Paragraph"/>
    <w:basedOn w:val="Style_3"/>
    <w:link w:val="Style_2_ch"/>
    <w:pPr>
      <w:ind w:firstLine="0" w:left="720"/>
      <w:contextualSpacing w:val="1"/>
    </w:pPr>
  </w:style>
  <w:style w:styleId="Style_2_ch" w:type="character">
    <w:name w:val="List Paragraph"/>
    <w:basedOn w:val="Style_3_ch"/>
    <w:link w:val="Style_2"/>
  </w:style>
  <w:style w:styleId="Style_18" w:type="paragraph">
    <w:name w:val="toc 8"/>
    <w:next w:val="Style_3"/>
    <w:link w:val="Style_18_ch"/>
    <w:uiPriority w:val="39"/>
    <w:pPr>
      <w:ind w:firstLine="0" w:left="1400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3"/>
    <w:link w:val="Style_19_ch"/>
    <w:uiPriority w:val="39"/>
    <w:pPr>
      <w:ind w:firstLine="0" w:left="800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3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Гиперссылка1"/>
    <w:link w:val="Style_21_ch"/>
    <w:rPr>
      <w:color w:val="0000FF"/>
      <w:u w:val="single"/>
    </w:rPr>
  </w:style>
  <w:style w:styleId="Style_21_ch" w:type="character">
    <w:name w:val="Гиперссылка1"/>
    <w:link w:val="Style_21"/>
    <w:rPr>
      <w:color w:val="0000FF"/>
      <w:u w:val="single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Обычный1"/>
    <w:link w:val="Style_26_ch"/>
  </w:style>
  <w:style w:styleId="Style_26_ch" w:type="character">
    <w:name w:val="Обычный1"/>
    <w:link w:val="Style_26"/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27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2026-03-31T09:55:10Z</dcterms:modified>
</cp:coreProperties>
</file>